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6" w:rsidRDefault="00F25436">
      <w:r>
        <w:t>Regulamin akcji „Liczymy ankiety”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Organizatorem akcji „Liczymy ankiety” jest Prorektor ds. Kształcenia Uniwersytetu im. Adama Mickiewicza w Poznaniu.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Uczestnikami akcji są studenci studiów stacjonarnych Uniwersytetu im. Adama Mickiewicza w Poznaniu biorący udział w Badaniu Jakości Kształcenia na swoim wydziale.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Studenci walczą o nagrodę dla swojego Wydziału wypełniając anonimową ankietę.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 xml:space="preserve">Wydziały podzielono na </w:t>
      </w:r>
      <w:r w:rsidR="005D06DA">
        <w:t>trzy</w:t>
      </w:r>
      <w:bookmarkStart w:id="0" w:name="_GoBack"/>
      <w:bookmarkEnd w:id="0"/>
      <w:r>
        <w:t xml:space="preserve"> grupy zbliżone pod względem liczby studentów.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Nagroda pieniężna w wysokości 3000 zł przyznana zostanie wydziałowi, który 30 czerwca o godz. 23.59 uzyska najwyższy wynik procentowy wypełnionych ankiet w swojej grupie liczony w odniesieniu do liczby wszystkich studentów studiów stacjonarnych na wydziale.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Nagrodę wydziały mogą przeznaczyć na dowolny cel służący jak najszerszej społeczności studenckiej wydziału.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Cel, na który zostanie przeznaczona nagroda, wskazują Wydziałowe Rady Samorządu Studentów w porozumieniu z Władzami Dziekańskimi zwycięskiego wydziału.</w:t>
      </w:r>
    </w:p>
    <w:p w:rsidR="00F25436" w:rsidRDefault="00F25436" w:rsidP="00F25436">
      <w:pPr>
        <w:pStyle w:val="Akapitzlist"/>
        <w:numPr>
          <w:ilvl w:val="0"/>
          <w:numId w:val="1"/>
        </w:numPr>
      </w:pPr>
      <w:r>
        <w:t>Przyznane środki pieniężne zwycięski wydzia</w:t>
      </w:r>
      <w:r w:rsidR="005D06DA">
        <w:t>ł musi wykorzystać do 31.12.2019</w:t>
      </w:r>
      <w:r>
        <w:t xml:space="preserve"> roku.</w:t>
      </w:r>
    </w:p>
    <w:sectPr w:rsidR="00F2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C5B"/>
    <w:multiLevelType w:val="hybridMultilevel"/>
    <w:tmpl w:val="810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6"/>
    <w:rsid w:val="005D06DA"/>
    <w:rsid w:val="00A73106"/>
    <w:rsid w:val="00F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2019-05-14T07:33:00Z</dcterms:created>
  <dcterms:modified xsi:type="dcterms:W3CDTF">2019-05-14T07:33:00Z</dcterms:modified>
</cp:coreProperties>
</file>